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5E2722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5E2722" w:rsidRPr="007F3B9C" w:rsidRDefault="005E2722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5E2722" w:rsidRPr="007F3B9C" w:rsidRDefault="005E2722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McMillan LLP</w:t>
            </w:r>
          </w:p>
        </w:tc>
      </w:tr>
    </w:tbl>
    <w:p w:rsidR="005E2722" w:rsidRPr="007F3B9C" w:rsidRDefault="005E2722" w:rsidP="005E2722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5E2722" w:rsidRPr="007F3B9C" w:rsidRDefault="005E2722" w:rsidP="005E2722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Insureds under the CLLAS policies are McMillan LLP; McMillan S.E.N.C.R.L., </w:t>
      </w:r>
      <w:proofErr w:type="spellStart"/>
      <w:r w:rsidRPr="007F3B9C">
        <w:rPr>
          <w:rFonts w:ascii="Calibri Light" w:hAnsi="Calibri Light"/>
          <w:spacing w:val="-2"/>
          <w:sz w:val="22"/>
        </w:rPr>
        <w:t>s.r.l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.;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Mendelsohn LLP;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and Mendelsohn </w:t>
      </w:r>
      <w:proofErr w:type="spellStart"/>
      <w:r w:rsidRPr="007F3B9C">
        <w:rPr>
          <w:rFonts w:ascii="Calibri Light" w:hAnsi="Calibri Light"/>
          <w:spacing w:val="-2"/>
          <w:sz w:val="22"/>
        </w:rPr>
        <w:t>s.e.n.c</w:t>
      </w:r>
      <w:proofErr w:type="spellEnd"/>
      <w:r w:rsidRPr="007F3B9C">
        <w:rPr>
          <w:rFonts w:ascii="Calibri Light" w:hAnsi="Calibri Light"/>
          <w:spacing w:val="-2"/>
          <w:sz w:val="22"/>
        </w:rPr>
        <w:t>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offices in Toronto, Ottawa, Vancouver, Calgary, Montreal and Hong Kong.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May 1, 2005,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merged with Mendelsohn </w:t>
      </w:r>
      <w:proofErr w:type="spellStart"/>
      <w:r w:rsidRPr="007F3B9C">
        <w:rPr>
          <w:rFonts w:ascii="Calibri Light" w:hAnsi="Calibri Light"/>
          <w:spacing w:val="-2"/>
          <w:sz w:val="22"/>
        </w:rPr>
        <w:t>s.e.n.c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to form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Mendelsohn LLP.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May 28, 2008,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Mendelsohn LLP changed its registered business name to McMillan LLP and McMillan S.E.N.C.R.L., </w:t>
      </w:r>
      <w:proofErr w:type="spellStart"/>
      <w:r w:rsidRPr="007F3B9C">
        <w:rPr>
          <w:rFonts w:ascii="Calibri Light" w:hAnsi="Calibri Light"/>
          <w:spacing w:val="-2"/>
          <w:sz w:val="22"/>
        </w:rPr>
        <w:t>s.r.l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in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Quebec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z w:val="22"/>
          <w:szCs w:val="22"/>
        </w:rPr>
      </w:pPr>
      <w:r w:rsidRPr="007F3B9C">
        <w:rPr>
          <w:rFonts w:ascii="Calibri Light" w:hAnsi="Calibri Light"/>
          <w:sz w:val="22"/>
          <w:szCs w:val="22"/>
        </w:rPr>
        <w:t xml:space="preserve">On May 1, 2009, McMillan LLP completed a transaction with </w:t>
      </w:r>
      <w:proofErr w:type="spellStart"/>
      <w:r w:rsidRPr="007F3B9C">
        <w:rPr>
          <w:rFonts w:ascii="Calibri Light" w:hAnsi="Calibri Light"/>
          <w:sz w:val="22"/>
          <w:szCs w:val="22"/>
        </w:rPr>
        <w:t>Thackray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Burgess Professional Corporation of Calgary where the Firm employed certain former </w:t>
      </w:r>
      <w:proofErr w:type="spellStart"/>
      <w:r w:rsidRPr="007F3B9C">
        <w:rPr>
          <w:rFonts w:ascii="Calibri Light" w:hAnsi="Calibri Light"/>
          <w:sz w:val="22"/>
          <w:szCs w:val="22"/>
        </w:rPr>
        <w:t>Thackray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Burgess lawyers and certain other lawyers from that firm became partners at the Firm.  While the two firms were not formally merging, </w:t>
      </w:r>
      <w:proofErr w:type="gramStart"/>
      <w:r w:rsidRPr="007F3B9C">
        <w:rPr>
          <w:rFonts w:ascii="Calibri Light" w:hAnsi="Calibri Light"/>
          <w:sz w:val="22"/>
          <w:szCs w:val="22"/>
        </w:rPr>
        <w:t>for the purpose of</w:t>
      </w:r>
      <w:proofErr w:type="gramEnd"/>
      <w:r w:rsidRPr="007F3B9C">
        <w:rPr>
          <w:rFonts w:ascii="Calibri Light" w:hAnsi="Calibri Light"/>
          <w:sz w:val="22"/>
          <w:szCs w:val="22"/>
        </w:rPr>
        <w:t xml:space="preserve"> insurance, CLLAS considers this as a merger and recognizes </w:t>
      </w:r>
      <w:proofErr w:type="spellStart"/>
      <w:r w:rsidRPr="007F3B9C">
        <w:rPr>
          <w:rFonts w:ascii="Calibri Light" w:hAnsi="Calibri Light"/>
          <w:sz w:val="22"/>
          <w:szCs w:val="22"/>
        </w:rPr>
        <w:t>Thackray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Burgess as a predecessor firm. 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On January 1, 2011, McMillan LLP and Lang Michener LLP merged and operates under the name McMillan LLP.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had formed a national association with two other law firms, Bull, </w:t>
      </w:r>
      <w:proofErr w:type="spellStart"/>
      <w:r w:rsidRPr="007F3B9C">
        <w:rPr>
          <w:rFonts w:ascii="Calibri Light" w:hAnsi="Calibri Light"/>
          <w:spacing w:val="-2"/>
          <w:sz w:val="22"/>
        </w:rPr>
        <w:t>Housser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Tupper of Vancouver and Surrey and Byers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Montreal.  The national association brought the three firms together </w:t>
      </w:r>
      <w:proofErr w:type="gramStart"/>
      <w:r w:rsidRPr="007F3B9C">
        <w:rPr>
          <w:rFonts w:ascii="Calibri Light" w:hAnsi="Calibri Light"/>
          <w:spacing w:val="-2"/>
          <w:sz w:val="22"/>
        </w:rPr>
        <w:t>for the purpose of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providing enhanced levels of service to clients in </w:t>
      </w:r>
      <w:smartTag w:uri="urn:schemas-microsoft-com:office:smarttags" w:element="place"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Canada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also formed an international partnership with the same two law firms in 1990.  This international partnership was known as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was formed </w:t>
      </w:r>
      <w:proofErr w:type="gramStart"/>
      <w:r w:rsidRPr="007F3B9C">
        <w:rPr>
          <w:rFonts w:ascii="Calibri Light" w:hAnsi="Calibri Light"/>
          <w:spacing w:val="-2"/>
          <w:sz w:val="22"/>
        </w:rPr>
        <w:t>for the purpose of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practising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Canadian law outside </w:t>
      </w:r>
      <w:smartTag w:uri="urn:schemas-microsoft-com:office:smarttags" w:element="place"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Canada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In 1993,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gramStart"/>
      <w:r w:rsidRPr="007F3B9C">
        <w:rPr>
          <w:rFonts w:ascii="Calibri Light" w:hAnsi="Calibri Light"/>
          <w:spacing w:val="-2"/>
          <w:sz w:val="22"/>
        </w:rPr>
        <w:t>entered into an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association with the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firm of Robert W.H. Wang &amp; Co.  The association was later terminated.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association ended on </w:t>
      </w:r>
      <w:smartTag w:uri="urn:schemas-microsoft-com:office:smarttags" w:element="date">
        <w:smartTagPr>
          <w:attr w:name="Year" w:val="2000"/>
          <w:attr w:name="Day" w:val="31"/>
          <w:attr w:name="Month" w:val="1"/>
        </w:smartTagPr>
        <w:r w:rsidRPr="007F3B9C">
          <w:rPr>
            <w:rFonts w:ascii="Calibri Light" w:hAnsi="Calibri Light"/>
            <w:spacing w:val="-2"/>
            <w:sz w:val="22"/>
          </w:rPr>
          <w:t>January 31, 2000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is an endorsement on the policy with respect to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cover possible claims relating to the period during which the partnership was in operation.</w:t>
      </w:r>
    </w:p>
    <w:p w:rsidR="005E2722" w:rsidRPr="007F3B9C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Coverage is provided to </w:t>
      </w:r>
      <w:proofErr w:type="spellStart"/>
      <w:r w:rsidRPr="007F3B9C">
        <w:rPr>
          <w:rFonts w:ascii="Calibri Light" w:hAnsi="Calibri Light"/>
          <w:spacing w:val="-2"/>
          <w:sz w:val="22"/>
        </w:rPr>
        <w:t>Thackray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Burgess Professional Corporation and its predecessor firms, namely </w:t>
      </w:r>
      <w:proofErr w:type="spellStart"/>
      <w:r w:rsidRPr="007F3B9C">
        <w:rPr>
          <w:rFonts w:ascii="Calibri Light" w:hAnsi="Calibri Light"/>
          <w:spacing w:val="-2"/>
          <w:sz w:val="22"/>
        </w:rPr>
        <w:t>Blanie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Company and Evans </w:t>
      </w:r>
      <w:proofErr w:type="spellStart"/>
      <w:r w:rsidRPr="007F3B9C">
        <w:rPr>
          <w:rFonts w:ascii="Calibri Light" w:hAnsi="Calibri Light"/>
          <w:spacing w:val="-2"/>
          <w:sz w:val="22"/>
        </w:rPr>
        <w:t>Higa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Burgess.</w:t>
      </w:r>
    </w:p>
    <w:p w:rsidR="00C70F8C" w:rsidRPr="005E2722" w:rsidRDefault="005E2722" w:rsidP="005E272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5E2722">
        <w:rPr>
          <w:rFonts w:ascii="Calibri Light" w:hAnsi="Calibri Light"/>
          <w:spacing w:val="-2"/>
          <w:sz w:val="22"/>
        </w:rPr>
        <w:t xml:space="preserve">Coverage is also provided to Lang Michener LLP and its predecessor firms, namely Lang Michener; Lang Michener Lawrence &amp; Shaw; Lang Michener Honeywell </w:t>
      </w:r>
      <w:proofErr w:type="spellStart"/>
      <w:r w:rsidRPr="005E2722">
        <w:rPr>
          <w:rFonts w:ascii="Calibri Light" w:hAnsi="Calibri Light"/>
          <w:spacing w:val="-2"/>
          <w:sz w:val="22"/>
        </w:rPr>
        <w:t>Wotherspoon</w:t>
      </w:r>
      <w:proofErr w:type="spellEnd"/>
      <w:r w:rsidRPr="005E2722">
        <w:rPr>
          <w:rFonts w:ascii="Calibri Light" w:hAnsi="Calibri Light"/>
          <w:spacing w:val="-2"/>
          <w:sz w:val="22"/>
        </w:rPr>
        <w:t xml:space="preserve">; Lang Michener Lash Johnston; Smith, Shaver; Honeywell, </w:t>
      </w:r>
      <w:proofErr w:type="spellStart"/>
      <w:r w:rsidRPr="005E2722">
        <w:rPr>
          <w:rFonts w:ascii="Calibri Light" w:hAnsi="Calibri Light"/>
          <w:spacing w:val="-2"/>
          <w:sz w:val="22"/>
        </w:rPr>
        <w:t>Wotherspoon</w:t>
      </w:r>
      <w:proofErr w:type="spellEnd"/>
      <w:r w:rsidRPr="005E2722">
        <w:rPr>
          <w:rFonts w:ascii="Calibri Light" w:hAnsi="Calibri Light"/>
          <w:spacing w:val="-2"/>
          <w:sz w:val="22"/>
        </w:rPr>
        <w:t xml:space="preserve">; Lawrence &amp; Shaw; Lash, Johnston; Lang Michener Cranston Farquharson &amp; Wright and Robertson Ward </w:t>
      </w:r>
      <w:proofErr w:type="spellStart"/>
      <w:r w:rsidRPr="005E2722">
        <w:rPr>
          <w:rFonts w:ascii="Calibri Light" w:hAnsi="Calibri Light"/>
          <w:spacing w:val="-2"/>
          <w:sz w:val="22"/>
        </w:rPr>
        <w:t>Suderman</w:t>
      </w:r>
      <w:proofErr w:type="spellEnd"/>
      <w:r w:rsidRPr="005E2722">
        <w:rPr>
          <w:rFonts w:ascii="Calibri Light" w:hAnsi="Calibri Light"/>
          <w:spacing w:val="-2"/>
          <w:sz w:val="22"/>
        </w:rPr>
        <w:t>.</w:t>
      </w:r>
      <w:bookmarkStart w:id="0" w:name="_GoBack"/>
      <w:bookmarkEnd w:id="0"/>
    </w:p>
    <w:sectPr w:rsidR="00C70F8C" w:rsidRPr="005E27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2D3A9B"/>
    <w:rsid w:val="00542DC9"/>
    <w:rsid w:val="005E2722"/>
    <w:rsid w:val="006B13F7"/>
    <w:rsid w:val="00902C43"/>
    <w:rsid w:val="00A5740B"/>
    <w:rsid w:val="00C64F93"/>
    <w:rsid w:val="00C70F8C"/>
    <w:rsid w:val="00E45AE6"/>
    <w:rsid w:val="00ED7F5B"/>
    <w:rsid w:val="00EE383D"/>
    <w:rsid w:val="00F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A775987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  <w:style w:type="character" w:customStyle="1" w:styleId="shorttext">
    <w:name w:val="short_text"/>
    <w:rsid w:val="006B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3</cp:revision>
  <dcterms:created xsi:type="dcterms:W3CDTF">2017-02-13T17:02:00Z</dcterms:created>
  <dcterms:modified xsi:type="dcterms:W3CDTF">2017-02-13T17:03:00Z</dcterms:modified>
</cp:coreProperties>
</file>